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302</w:t>
      </w:r>
    </w:p>
    <w:p>
      <w:r>
        <w:t>Bundesgericht (BGE), 1993-06-22, FR</w:t>
      </w:r>
    </w:p>
    <w:p>
      <w:r>
        <w:rPr>
          <w:b/>
        </w:rPr>
        <w:t xml:space="preserve">Quelle: </w:t>
      </w:r>
      <w:r>
        <w:t>https://mcp.opencaselaw.ch/entscheid/bge_119 V 302</w:t>
      </w:r>
    </w:p>
    <w:p>
      <w:r>
        <w:t>FR: ATF 119 V 302</w:t>
      </w:r>
    </w:p>
    <w:p>
      <w:r>
        <w:t>IT: DTF 119 V 302</w:t>
      </w:r>
    </w:p>
    <w:p>
      <w:pPr>
        <w:pStyle w:val="Heading2"/>
      </w:pPr>
      <w:r>
        <w:t>Regeste</w:t>
      </w:r>
    </w:p>
    <w:p>
      <w:r>
        <w:t>Regeste Art. 8 Abs. 4 KUVG und Art. 12 Abs. 2 VO III, Art. 4 Abs. 1 BV: Recht, bei der Betriebs- oder Berufskrankenkasse versichert zu bleiben; Auskunftspflicht. Die Betriebs- oder Berufskrankenkassen sind verpflichtet, diejenigen Versicherten, die kein Zügerrecht haben, darüber aufzuklären, dass sie in der Kasse verbleiben können. Folgen einer unrichtigen Auskunft, wenn ein Versicherter Mitglied einer neuen Kasse wird und nicht mehr den bisherigen Versicherungsschutz geniesst.</w:t>
      </w:r>
    </w:p>
    <w:p>
      <w:pPr>
        <w:pStyle w:val="Heading2"/>
      </w:pPr>
      <w:r>
        <w:t>Erwägungen</w:t>
      </w:r>
    </w:p>
    <w:p>
      <w:r>
        <w:rPr>
          <w:b/>
        </w:rPr>
        <w:t>E. 1</w:t>
      </w:r>
    </w:p>
    <w:p>
      <w:r>
        <w:t>a) Selon l' art. 8 al. 1 LAMA , les assurés qui, quittant une entreprise ou une association professionnelle, doivent sortir de la caisse de cette entreprise ou de cette association professionnelle ont droit au libre passage au plus tard jusqu'à l'âge de 55 ans révolus. Cependant, si de tels assurés ont été affiliés à la caisse durant plus de cinq années, ils n'ont pas droit au libre passage tant qu'ils sont malades lorsque la maladie cesse, l'assuré a droit au libre passage s'il n'a pas atteint l'âge de 55 ans dans l'intervalle ( art. 8 al. 2 LAMA ). Enfin, aux termes de l' art. 8 al. 4 LAMA , les assurés qui ne bénéficient pas du libre passage en vertu de l' art. 8 al. 1 LAMA ont le droit, tant qu'ils séjournent en Suisse, de rester affiliés à leur caisse et celle-ci doit continuer à leur garantir les mêmes prestations; elles peuvent, si l'assuré a un nouveau lieu de séjour, demander à toute caisse exerçant son activité en ce lieu de se charger, contre remboursement des frais, de la perception des cotisations, du paiement des prestations assurées et du contrôle des malades. b) Ces règles sont valables aussi bien pour les assurés collectifs que pour les assurés individuels des caisses-maladie d'entreprises ou d'associations professionnelles (RAUBER, Die Freizügigkeit nach KVG, thèse Berne, 1984, p. 62; ATF 96 V 53 ). Par rapport à l' art. 7 LAMA , qui traite du libre passage en général, il s'agit d'une réglementation spéciale, adoptée pour tenir compte des particularités de ces caisses, dites "fermées", c'est-à-dire qui n'ont pour but d'assurer que ceux qui travaillent dans une entreprise ou dans une profession BGE 119 V 302 S. 305 déterminée (GREBER, Droit suisse de la sécurité sociale, p. 379; MAURER, Schweizerisches Sozialversicherungsrecht, vol. II, p. 307). c) Les dispositions sur le libre passage sont ici plus sévères que celles qui découlent de l' art. 7 LAMA : le libre passage n'est garanti que jusqu'à l'âge de 55 ans; en outre, l'assuré n'a pas droit au libre passage tant qu'il est malade (et s'il a été affilié à la caisse pendant une certaine durée). Le but est de protéger les caisses dites "ouvertes", dont les dépenses augmenteraient considérablement si elles devaient accueillir des assurés malades sans avoir la possibilité de grever l'assurance d'une réserve ou des assurés jusqu'alors en bonne santé, mais dont le risque de morbidité croît avec l'âge (GREBER, ibidem; MAURER, ibidem; voir aussi ATF 112 V 25 consid. 2). Ces restrictions au libre passage ont pour corollaire que, conformément à l' art. 8 al. 4 LAMA , les assurés concernés ont le droit de rester affiliés à leur caisse d'entreprise ou d'association professionnelle. On notera, à ce dernier propos, que l' art. 8 al. 4 LAMA n'exige pas que l'intéressé réside dans le rayon d'activité de la caisse ou qu'il fasse partie de l'entreprise, de la profession ou de l'association professionnelle à laquelle la caisse limite son activité, cela contrairement à l' art. 5bis al. 4 LAMA (relatif au passage de l'assurance collective dans l'assurance individuelle au sein d'une même caisse). d) Le délai pour faire valoir le droit de rester dans la caisse, conformément à l' art. 8 al. 4 LAMA , est de trois mois (art. 11 al. 1 Ord. III). Si l'indemnité journalière était fixée jusqu'alors en pour-cent du revenu de l'activité lucrative, la caisse qui doit garder l'assuré peut transformer cette indemnité en une indemnité fixe, arrondie en francs; les dispositions sur la surassurance sont réservées (art. 11 al. 2 Ord. III). e) Quand survient un cas de libre passage en général, la caisse est tenue de renseigner l'assuré sur ses droits (art. 12 al. 1 Ord. III). Une obligation analogue incombe aux caisses d'entreprises et aux caisses d'associations professionnelles à l'égard des assurés qui quittent l'entreprise ou l'association mais n'ont plus droit au libre passage (art. 12 al. 2 Ord. III).</w:t>
      </w:r>
    </w:p>
    <w:p>
      <w:r>
        <w:rPr>
          <w:b/>
        </w:rPr>
        <w:t>E. 2</w:t>
      </w:r>
    </w:p>
    <w:p>
      <w:r>
        <w:t>a) L'AMBB, qui a pour vocation d'assurer de plein droit - c'est-à-dire sans procédure d'admission - les salariés des entreprises affiliées à la FVE, doit être considérée comme une caisse d'association professionnelle au sens de l' art. 8 al. 1 LAMA . Ce point n'est pas contesté et, d'ailleurs, l'art. 16 du règlement général de la caisse reprend la réglementation de l' art. 8 LAMA , en la déclarant BGE 119 V 302 S. 306 applicable aux assurés sortant d'une entreprise du bois, du bâtiment et des branches annexes. b) Au moment de la cessation des rapports de travail, le recourant était âgé de plus de 55 ans. Sur la base de l' art. 8 al. 4 LAMA (et de l'art. 16 précité du règlement général), il était en droit de rester affilié à la caisse - pour les mêmes prestations - après la résiliation de son contrat de travail. Le fait qu'il n'était pas domicilié dans le canton de Vaud était à cet égard sans importance. En affirmant le contraire dans sa lettre du 26 mai 1989, l'AMBB a donc donné à l'assuré un renseignement inexact, comme elle l'a d'ailleurs reconnu, tant en procédure cantonale que devant le Tribunal fédéral des assurances. Cette circonstance n'a pas non plus échappé aux premiers juges. Ils considèrent toutefois que l'assuré n'a pas subi de préjudice, en raison de cette information erronée, car il a eu la possibilité de s'affilier à la CSS, pour l'assurance de base de soins médicaux et pharmaceutiques, cette assurance étant au demeurant obligatoire dans le canton de Fribourg. Mais semblable raisonnement ne tient pas compte du fait que sont en cause, en l'espèce, des indemnités pour perte de gain. Eu égard à l'état de santé du recourant - qui était en traitement médical depuis le 18 mars 1989 et qui, par la suite, a subi une incapacité de travail ayant abouti à une invalidité permanente -, la possibilité de s'affilier pour une indemnité journalière à la CSS n'eût sans doute été possible que moyennant l'instauration d'une réserve ( art. 5 al. 3 LAMA ). En effet, dans le cadre d'une assurance déclarée obligatoire par un canton ( art. 2 al. 1 let. a LAMA ), seules les prestations minimales (c'est-à-dire l'assurance de base des soins médicaux et pharmaceutiques) peuvent - et doivent - être assurées sans réserve (en ce qui concerne le canton de Fribourg, voir MARMY, L'assurance-maladie dans le canton de Fribourg, p. 30). Le fait que l'AMBB a délivré à l'assuré un certificat d'affiliation (art. 7 Ord. III) mentionnant, en particulier, l'existence d'une assurance pour perte de gain n'y saurait rien changer. Un tel document ne préjuge pas des conditions relatives au libre passage; si ces conditions ne sont pas remplies, la nouvelle caisse ne saurait être tenue, par la seule délivrance d'un certificat d'affiliation, d'accepter le candidat sans égard à son état de santé ou à son âge ou de lui garantir les prestations qui lui étaient assurées précédemment ( art. 8 al. 1 et 2 LAMA ; cf. RAUBER, op.cit., p. 99 ss).</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5</w:t>
      </w:r>
    </w:p>
    <w:p>
      <w:r>
        <w:t>Dans ses écritures, l'AMBB s'est certes prévalue, semble-t-il à titre subsidiaire, de la tardiveté de l'annonce du cas. Mais cette tardiveté ne saurait être opposable au recourant, du moment qu'elle s'explique, uniquement, par une erreur de la caisse.</w:t>
      </w:r>
    </w:p>
    <w:p>
      <w:r>
        <w:rPr>
          <w:b/>
        </w:rPr>
        <w:t>E. 6</w:t>
      </w:r>
    </w:p>
    <w:p>
      <w:r>
        <w:t>La cause doit ainsi être renvoyée à la caisse pour qu'elle procède conformément aux considérants qui précèdent. Dans la mesure où la caisse n'a pas rendu de décision formelle, seul le jugement cantonal doit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